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150" w:afterAutospacing="0" w:line="480" w:lineRule="atLeast"/>
        <w:rPr>
          <w:rFonts w:hint="default" w:ascii="微软雅黑" w:hAnsi="微软雅黑" w:eastAsia="微软雅黑" w:cs="微软雅黑"/>
          <w:b w:val="0"/>
          <w:bCs w:val="0"/>
          <w:color w:val="333333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FFFF" w:themeColor="background1"/>
          <w:sz w:val="18"/>
          <w:szCs w:val="18"/>
          <w:highlight w:val="darkCyan"/>
          <w:lang w:eastAsia="zh-CN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5606415</wp:posOffset>
            </wp:positionH>
            <wp:positionV relativeFrom="paragraph">
              <wp:posOffset>308610</wp:posOffset>
            </wp:positionV>
            <wp:extent cx="990600" cy="1254760"/>
            <wp:effectExtent l="0" t="0" r="0" b="2540"/>
            <wp:wrapSquare wrapText="bothSides"/>
            <wp:docPr id="2" name="图片 2" descr="DSC07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07548"/>
                    <pic:cNvPicPr>
                      <a:picLocks noChangeAspect="1"/>
                    </pic:cNvPicPr>
                  </pic:nvPicPr>
                  <pic:blipFill>
                    <a:blip r:embed="rId4"/>
                    <a:srcRect l="13556" t="4185" r="14083" b="417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00808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375285</wp:posOffset>
            </wp:positionV>
            <wp:extent cx="1014730" cy="1255395"/>
            <wp:effectExtent l="0" t="0" r="13970" b="1905"/>
            <wp:wrapSquare wrapText="bothSides"/>
            <wp:docPr id="35" name="图片 35" descr="FAITHFUL GX OVEN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FAITHFUL GX OVEN 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00808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464820</wp:posOffset>
            </wp:positionV>
            <wp:extent cx="962025" cy="1184275"/>
            <wp:effectExtent l="0" t="0" r="9525" b="15875"/>
            <wp:wrapSquare wrapText="bothSides"/>
            <wp:docPr id="1" name="图片 1" descr="WGLL-BE(SUS304)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GLL-BE(SUS304) BODY"/>
                    <pic:cNvPicPr>
                      <a:picLocks noChangeAspect="1"/>
                    </pic:cNvPicPr>
                  </pic:nvPicPr>
                  <pic:blipFill>
                    <a:blip r:embed="rId6"/>
                    <a:srcRect l="11449" t="2837" r="13125" b="4332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FFFFFF" w:themeColor="background1"/>
          <w:sz w:val="18"/>
          <w:szCs w:val="18"/>
          <w:highlight w:val="darkCyan"/>
          <w:lang w:eastAsia="zh-CN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-433705</wp:posOffset>
            </wp:positionV>
            <wp:extent cx="1945005" cy="659130"/>
            <wp:effectExtent l="0" t="0" r="17145" b="7620"/>
            <wp:wrapNone/>
            <wp:docPr id="3" name="图片 3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司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 w:val="0"/>
          <w:bCs w:val="0"/>
          <w:color w:val="008080"/>
          <w:sz w:val="28"/>
          <w:szCs w:val="28"/>
          <w:shd w:val="clear" w:color="auto" w:fill="FFFFFF"/>
        </w:rPr>
        <w:t>电热鼓风干燥箱（WGL/WGLL）</w:t>
      </w:r>
      <w:r>
        <w:rPr>
          <w:rFonts w:ascii="微软雅黑" w:hAnsi="微软雅黑" w:eastAsia="微软雅黑" w:cs="微软雅黑"/>
          <w:b w:val="0"/>
          <w:bCs w:val="0"/>
          <w:color w:val="333333"/>
          <w:sz w:val="36"/>
          <w:szCs w:val="36"/>
          <w:shd w:val="clear" w:color="auto" w:fill="FFFFFF"/>
        </w:rPr>
        <w:t> </w:t>
      </w:r>
    </w:p>
    <w:p>
      <w:pPr>
        <w:widowControl/>
        <w:shd w:val="clear" w:color="auto" w:fill="FFFFFF"/>
        <w:adjustRightInd w:val="0"/>
        <w:snapToGrid w:val="0"/>
        <w:spacing w:after="75" w:line="294" w:lineRule="atLeast"/>
        <w:jc w:val="left"/>
        <w:rPr>
          <w:rFonts w:hint="eastAsia" w:ascii="微软雅黑" w:hAnsi="微软雅黑" w:eastAsia="微软雅黑" w:cs="微软雅黑"/>
          <w:color w:val="333333"/>
          <w:kern w:val="0"/>
          <w:sz w:val="20"/>
          <w:szCs w:val="20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0"/>
          <w:szCs w:val="20"/>
          <w:shd w:val="clear" w:color="auto" w:fill="FFFFFF"/>
          <w:lang w:bidi="ar"/>
        </w:rPr>
        <w:t>干燥、烘焙、熔蜡、热处理之用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hAnsi="微软雅黑" w:eastAsia="微软雅黑" w:cs="微软雅黑"/>
          <w:color w:val="FFFFFF" w:themeColor="background1"/>
          <w:sz w:val="16"/>
          <w:szCs w:val="16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color w:val="FFFFFF" w:themeColor="background1"/>
          <w:sz w:val="16"/>
          <w:szCs w:val="16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产品特点：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1.立式双风道循环水平送风，干燥效率高，工作室内温度分布均匀。 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2.数码管显示微电脑智能PID控温仪。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3.标配风机开关</w:t>
      </w:r>
      <w:r>
        <w:rPr>
          <w:rFonts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(230型和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6</w:t>
      </w:r>
      <w:r>
        <w:rPr>
          <w:rFonts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25型无风机开关)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、高亮LED仪器运行指示灯</w:t>
      </w:r>
      <w:r>
        <w:rPr>
          <w:rFonts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(230型和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6</w:t>
      </w:r>
      <w:r>
        <w:rPr>
          <w:rFonts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25型无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指示灯</w:t>
      </w:r>
      <w:r>
        <w:rPr>
          <w:rFonts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)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、耐高温鼓风电机。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4.新型防烫手把手。</w:t>
      </w:r>
      <w:bookmarkStart w:id="0" w:name="_GoBack"/>
      <w:bookmarkEnd w:id="0"/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 w:ascii="微软雅黑" w:hAnsi="微软雅黑" w:eastAsia="微软雅黑" w:cs="微软雅黑"/>
          <w:color w:val="FFFFFF" w:themeColor="background1"/>
          <w:sz w:val="18"/>
          <w:szCs w:val="18"/>
          <w:highlight w:val="darkCyan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color w:val="FFFFFF" w:themeColor="background1"/>
          <w:sz w:val="18"/>
          <w:szCs w:val="18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WGLL-BE系列另具备特点：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1.控温仪彩色液晶屏显示，设定值、测量值、定时同时在屏幕显示。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2.4档3速调速式风机</w:t>
      </w:r>
      <w:r>
        <w:rPr>
          <w:rFonts w:ascii="微软雅黑" w:hAnsi="微软雅黑" w:eastAsia="微软雅黑" w:cs="宋体"/>
          <w:sz w:val="18"/>
          <w:szCs w:val="18"/>
          <w:lang w:bidi="ar"/>
        </w:rPr>
        <w:t>(230型和625型均无风机调速)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，可根据用户不同的实验要求，调节所需的风量，从而对各类样品进行烘干。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3.超温保护系统：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  <w:lang w:val="en-US" w:eastAsia="zh-CN"/>
        </w:rPr>
        <w:t>控温仪超温时报警并切断加热输出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，提高安全性。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hAnsi="微软雅黑" w:eastAsia="微软雅黑" w:cs="微软雅黑"/>
          <w:color w:val="333333"/>
          <w:sz w:val="16"/>
          <w:szCs w:val="1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4.独立限温器：高精度数显式独立限温器，当工作室内温度超过仪表设定报警值时切断加热主回路，为产品提供双重安全保障。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ascii="微软雅黑" w:hAnsi="微软雅黑" w:eastAsia="微软雅黑" w:cs="微软雅黑"/>
          <w:color w:val="333333"/>
          <w:sz w:val="16"/>
          <w:szCs w:val="16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FFFFFF" w:themeColor="background1"/>
          <w:sz w:val="16"/>
          <w:szCs w:val="16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pPr w:leftFromText="180" w:rightFromText="180" w:vertAnchor="text" w:horzAnchor="page" w:tblpXSpec="center" w:tblpY="145"/>
        <w:tblOverlap w:val="never"/>
        <w:tblW w:w="11376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1665"/>
        <w:gridCol w:w="1251"/>
        <w:gridCol w:w="1245"/>
        <w:gridCol w:w="1260"/>
        <w:gridCol w:w="1245"/>
        <w:gridCol w:w="1365"/>
        <w:gridCol w:w="1380"/>
        <w:gridCol w:w="1293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型号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WGL-30B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WGL-45B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WGL-65B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WGL-85B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WGL-125B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WGL-230B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WGL-625B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3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WGLL-30BE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WGLL-45BE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WGLL-65BE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WGLL-85BE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WGLL-125BE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WGLL-230BE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WGLL-625BE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3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textAlignment w:val="center"/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WGLL-30BE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(304)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textAlignment w:val="center"/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WGLL-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45</w:t>
            </w:r>
            <w:r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BE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(304)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textAlignment w:val="center"/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WGLL-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65</w:t>
            </w:r>
            <w:r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BE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(304)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WGLL-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85</w:t>
            </w:r>
            <w:r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B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(304)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textAlignment w:val="center"/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WGLL-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125</w:t>
            </w:r>
            <w:r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BE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(304)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WGLL-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230</w:t>
            </w:r>
            <w:r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BE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  <w:t>(304)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FFFFFF" w:themeColor="background1"/>
                <w:kern w:val="0"/>
                <w:sz w:val="16"/>
                <w:szCs w:val="16"/>
                <w:lang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循环方式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强制对流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使用温度范围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RT+10-300℃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温度分辨率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温度波动度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±1℃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温度分布精度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±2.5%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工作室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镜面不锈钢工作室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外壳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pacing w:line="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冷轧钢板，表面静电喷涂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,304:SUS304压花不锈钢外壳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保温层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优质岩棉板（带CE认证）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加热器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不锈钢电热管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额定功率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0.8kW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1.2kW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1.6kW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2.0kW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2.3kW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3.0kW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.0kW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排气孔</w:t>
            </w:r>
          </w:p>
        </w:tc>
        <w:tc>
          <w:tcPr>
            <w:tcW w:w="6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mm顶部(具有测试孔功能)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后部排气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  <w:t>Φ63mm顶部排气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温度控制方式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双温段智能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温度设定方式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轻触型按键设定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温度表示方式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B型:测定温度四位数码管上排显示，设置温度四位数码管下排显示 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BE型:测定温度液晶屏上部显示，设置温度液晶屏下部显示   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定时器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0-9999分钟(带定时等待功能)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运行功能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定值运行，定时运行，自动停止.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附加功能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B型:传感器偏差修正，温度过冲自整定，内部参数锁定，断电参数记忆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BE型:新型数显限温器，4档3速调速风机(230型和625型均无风机调速)，传感器偏差修正，温度过冲自整定，内部参数锁定，断电参数记忆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传感器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B型:超温声光报警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BE型:高精度数显式独立限温器，超温声光报警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工作室(宽*深*高mm)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310*310*310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350*350*350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400*360*450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450*420*450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500*450*550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600*500*750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60*1250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外形(宽*深*高mm)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450*500*690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490*540*730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540*550*830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590*610*830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640*640*930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73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835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*1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902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942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1739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外包装(宽*深*高mm)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0*5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5*8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0*6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5*8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*6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5*9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0*6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0*7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5*1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57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885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1287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1032*1008*1925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内容积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30L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45L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65L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85L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125L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230L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625L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隔板层数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（最大）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隔板承重</w:t>
            </w:r>
          </w:p>
        </w:tc>
        <w:tc>
          <w:tcPr>
            <w:tcW w:w="7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15kg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25kg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隔板间距</w:t>
            </w:r>
          </w:p>
        </w:tc>
        <w:tc>
          <w:tcPr>
            <w:tcW w:w="6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mm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35mm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0mm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电源(50/60HZ)额定电流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AC220V/3.6A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AC220V/5.5A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AC220V/7.2A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AC220V/9.0A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AC220V/10.5A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AC220V/13.6A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AC380V/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6.0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净重/毛重(kg)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33/37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37/43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44/49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50/56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60/66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94/120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0/1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隔板</w:t>
            </w:r>
          </w:p>
        </w:tc>
        <w:tc>
          <w:tcPr>
            <w:tcW w:w="90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隔板架</w:t>
            </w:r>
          </w:p>
        </w:tc>
        <w:tc>
          <w:tcPr>
            <w:tcW w:w="7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11层固定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FFFFFF" w:themeColor="background1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FFFFFF" w:themeColor="background1"/>
                <w:kern w:val="0"/>
                <w:sz w:val="18"/>
                <w:szCs w:val="18"/>
                <w:lang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107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eastAsia="宋体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B型：隔板；BE型：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隔板、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RS485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接口、打印机、程序控温仪、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盘数据存储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WIFI控制模块</w:t>
            </w:r>
          </w:p>
        </w:tc>
      </w:tr>
    </w:tbl>
    <w:p/>
    <w:sectPr>
      <w:pgSz w:w="11906" w:h="16838"/>
      <w:pgMar w:top="567" w:right="567" w:bottom="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3C3D"/>
    <w:rsid w:val="00003118"/>
    <w:rsid w:val="00003C3D"/>
    <w:rsid w:val="001732B8"/>
    <w:rsid w:val="002232B7"/>
    <w:rsid w:val="00875C8B"/>
    <w:rsid w:val="00C35D87"/>
    <w:rsid w:val="00D30CD1"/>
    <w:rsid w:val="00E14511"/>
    <w:rsid w:val="00EA26E8"/>
    <w:rsid w:val="077058BB"/>
    <w:rsid w:val="0D0B49CD"/>
    <w:rsid w:val="21393144"/>
    <w:rsid w:val="22967C4B"/>
    <w:rsid w:val="22F77849"/>
    <w:rsid w:val="2D621EB1"/>
    <w:rsid w:val="35B10437"/>
    <w:rsid w:val="36B11101"/>
    <w:rsid w:val="47F560C9"/>
    <w:rsid w:val="5AE71943"/>
    <w:rsid w:val="5EC27110"/>
    <w:rsid w:val="637F6C5A"/>
    <w:rsid w:val="68015008"/>
    <w:rsid w:val="69273A84"/>
    <w:rsid w:val="69857E2D"/>
    <w:rsid w:val="6B5813D6"/>
    <w:rsid w:val="72AD012E"/>
    <w:rsid w:val="73F05BE5"/>
    <w:rsid w:val="74D04709"/>
    <w:rsid w:val="7BC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899</Words>
  <Characters>1567</Characters>
  <Lines>13</Lines>
  <Paragraphs>3</Paragraphs>
  <TotalTime>2</TotalTime>
  <ScaleCrop>false</ScaleCrop>
  <LinksUpToDate>false</LinksUpToDate>
  <CharactersWithSpaces>1582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2023-02-27T01:13:00Z</dcterms:created>
  <dc:creator>Administrator</dc:creator>
  <cp:lastModifiedBy>ln</cp:lastModifiedBy>
  <dcterms:modified xsi:type="dcterms:W3CDTF">2024-04-08T03:16:17Z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3F0E3168636A40029C26989B8659A17C_12</vt:lpwstr>
  </property>
</Properties>
</file>